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48"/>
        <w:gridCol w:w="6223"/>
      </w:tblGrid>
      <w:tr w:rsidR="00B574EF" w:rsidRPr="00F175B2" w:rsidTr="00261DA9">
        <w:tc>
          <w:tcPr>
            <w:tcW w:w="3348" w:type="dxa"/>
          </w:tcPr>
          <w:p w:rsidR="00AA7911" w:rsidRPr="006172A9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23" w:type="dxa"/>
          </w:tcPr>
          <w:p w:rsidR="00AA7911" w:rsidRPr="00F175B2" w:rsidRDefault="00064DB6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Александр Васильевич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6223" w:type="dxa"/>
          </w:tcPr>
          <w:p w:rsidR="00AA7911" w:rsidRPr="00F175B2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F175B2" w:rsidP="0006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</w:rPr>
              <w:t>Химическая физика, в том числе физика горения и взрыва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064DB6" w:rsidP="00F17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Научно-исследовательский институт ядерной физики имени Д.В.Скобельцына, Лаборатория физики наноструктур и радиационных эффектов.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23" w:type="dxa"/>
          </w:tcPr>
          <w:p w:rsidR="00AA7911" w:rsidRPr="00064DB6" w:rsidRDefault="00064DB6" w:rsidP="0006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сотрудник.</w:t>
            </w:r>
          </w:p>
        </w:tc>
      </w:tr>
      <w:tr w:rsidR="00B574EF" w:rsidRPr="006B1A56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B574EF" w:rsidRPr="00064DB6" w:rsidRDefault="00064DB6" w:rsidP="000244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Salamatin D.A., Sidorov V.A., Kichanov S.E., Velichkov A., Salamatin A.V., Fomicheva L.N., Kozlenko D.P., Nikolaev A.V., Menzel D., Budzynski M., Tsvyashchenko A.V.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Coexistence of charge density wave and incommensurate antiferromagnetism in the cubic phase of DyGe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2.85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synthesised under high pressure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Alloys and Compounds. 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201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755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B574EF" w:rsidRPr="00B57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10-14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4CAE" w:rsidRPr="00064DB6" w:rsidRDefault="00064DB6" w:rsidP="00064DB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Sidorov V.A., Petrova A.E., Chtchelkatchev N.M., Magnitskaya M.V., Fomicheva L.N., Salamatin D.A., Nikolaev A.V., Zibrov I.P., Wilhelm F., Rogalev A., Tsvyashchenko A.V. Magnetic, electronic, and transport properties of the high-pressure-synthesized chiral magnets Mn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1-x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 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Physical Review B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№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125121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4DB6" w:rsidRPr="00064DB6" w:rsidRDefault="009E4CAE" w:rsidP="00B574E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Tsvyashchenko A.V., Nikolaev A.V., Salamatin D.A., Velichkov A., Salamatin A.V., Novikov A.P., Fomicheva L.N., El'kin F.S., Bibikov A.V., Kozin M.G., Budzynski M. Two-stage pressure-induced Yb valence change in the hexagonal Laves phase YbAg</w:t>
            </w:r>
            <w:r w:rsidR="00064DB6" w:rsidRPr="006B1A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Investigation by time differential perturbed angular gamma-gamma correlation spectroscopy method and density functional calculations. // Physical Review B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201</w:t>
            </w:r>
            <w:r w:rsid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574EF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064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</w:t>
            </w:r>
            <w:r w:rsid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DB6"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245141-1-7.</w:t>
            </w:r>
          </w:p>
          <w:p w:rsidR="00B574EF" w:rsidRPr="001D3558" w:rsidRDefault="001D3558" w:rsidP="001D35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Salamatin D.A., Sidorov V.A., Kichanov S.E., Kozlenko D.P., Fomicheva L.N., Nikolaev A.V., Makarova O.L., Tsvyashchenko A.V. </w:t>
            </w:r>
            <w:r w:rsidR="00950FFE" w:rsidRPr="001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of high pressure on charge density wave formation and magnetic structure in the cubic high-pressure phase of TbGe</w:t>
            </w:r>
            <w:r w:rsidR="00950FFE" w:rsidRPr="001D35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2.85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4EF" w:rsidRPr="001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Physical Review B</w:t>
            </w:r>
            <w:r w:rsidR="00B574EF" w:rsidRPr="001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214435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4CAE" w:rsidRPr="006B1A56" w:rsidRDefault="006B1A56" w:rsidP="006B1A5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Tkalya E.V., Nikolaev A.V.</w:t>
            </w:r>
            <w:r w:rsidR="00067190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1DA9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hyperfine structure of the ground-state doublet in highly charged ions </w:t>
            </w:r>
            <w:r w:rsidR="00261DA9" w:rsidRPr="006B1A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229</w:t>
            </w:r>
            <w:r w:rsidR="00261DA9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261DA9" w:rsidRPr="006B1A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89+</w:t>
            </w:r>
            <w:r w:rsidR="00261DA9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61DA9" w:rsidRPr="006B1A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87+</w:t>
            </w:r>
            <w:r w:rsidR="00261DA9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Bohr-Weisskopf effect</w:t>
            </w:r>
            <w:r w:rsid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4EF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Review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4EF" w:rsidRPr="0026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D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064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B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A7911" w:rsidRPr="006B1A5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AA7911" w:rsidRPr="006B1A56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7911"/>
    <w:rsid w:val="00064DB6"/>
    <w:rsid w:val="00067190"/>
    <w:rsid w:val="000A7EAF"/>
    <w:rsid w:val="000B00A1"/>
    <w:rsid w:val="001251DB"/>
    <w:rsid w:val="001C1ADB"/>
    <w:rsid w:val="001D3558"/>
    <w:rsid w:val="00261DA9"/>
    <w:rsid w:val="002B713B"/>
    <w:rsid w:val="003072AF"/>
    <w:rsid w:val="00334396"/>
    <w:rsid w:val="003D7A73"/>
    <w:rsid w:val="00415D0D"/>
    <w:rsid w:val="00424921"/>
    <w:rsid w:val="00527FAD"/>
    <w:rsid w:val="00535E5C"/>
    <w:rsid w:val="00592E52"/>
    <w:rsid w:val="005C3E83"/>
    <w:rsid w:val="006172A9"/>
    <w:rsid w:val="006B1A56"/>
    <w:rsid w:val="00720474"/>
    <w:rsid w:val="008B533F"/>
    <w:rsid w:val="00950FFE"/>
    <w:rsid w:val="009B0B00"/>
    <w:rsid w:val="009E4CAE"/>
    <w:rsid w:val="00A87D08"/>
    <w:rsid w:val="00AA7911"/>
    <w:rsid w:val="00B574EF"/>
    <w:rsid w:val="00B801BA"/>
    <w:rsid w:val="00B862DF"/>
    <w:rsid w:val="00BB4F20"/>
    <w:rsid w:val="00CA1B13"/>
    <w:rsid w:val="00D83435"/>
    <w:rsid w:val="00E6725E"/>
    <w:rsid w:val="00F118C8"/>
    <w:rsid w:val="00F175B2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2019-07-24T13:15:00Z</dcterms:created>
  <dcterms:modified xsi:type="dcterms:W3CDTF">2019-07-24T13:15:00Z</dcterms:modified>
</cp:coreProperties>
</file>