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80" w:rsidRPr="009B0B00" w:rsidRDefault="00CF0080" w:rsidP="00AA791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bookmarkStart w:id="0" w:name="OLE_LINK1"/>
      <w:bookmarkStart w:id="1" w:name="OLE_LINK2"/>
      <w:bookmarkStart w:id="2" w:name="_GoBack"/>
      <w:bookmarkEnd w:id="2"/>
      <w:r w:rsidRPr="009B0B00">
        <w:rPr>
          <w:rFonts w:ascii="Times New Roman" w:hAnsi="Times New Roman"/>
          <w:b/>
          <w:sz w:val="32"/>
          <w:szCs w:val="32"/>
          <w:lang w:eastAsia="ru-RU"/>
        </w:rPr>
        <w:t>Сведения об официальном оппоненте</w:t>
      </w:r>
      <w:bookmarkEnd w:id="0"/>
      <w:bookmarkEnd w:id="1"/>
    </w:p>
    <w:p w:rsidR="00CF0080" w:rsidRPr="00AA7911" w:rsidRDefault="00CF0080" w:rsidP="00AA7911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5919"/>
      </w:tblGrid>
      <w:tr w:rsidR="00CF0080" w:rsidRPr="00BB6156" w:rsidTr="00BB6156">
        <w:tc>
          <w:tcPr>
            <w:tcW w:w="3652" w:type="dxa"/>
          </w:tcPr>
          <w:p w:rsidR="00CF0080" w:rsidRPr="00BB6156" w:rsidRDefault="00CF0080" w:rsidP="00BB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B6156"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919" w:type="dxa"/>
          </w:tcPr>
          <w:p w:rsidR="00CF0080" w:rsidRPr="00BB6156" w:rsidRDefault="007522EC" w:rsidP="00630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22EC">
              <w:rPr>
                <w:rFonts w:ascii="Times New Roman" w:hAnsi="Times New Roman"/>
                <w:sz w:val="24"/>
                <w:szCs w:val="24"/>
              </w:rPr>
              <w:t>Есаулков</w:t>
            </w:r>
            <w:proofErr w:type="spellEnd"/>
            <w:r w:rsidRPr="007522EC">
              <w:rPr>
                <w:rFonts w:ascii="Times New Roman" w:hAnsi="Times New Roman"/>
                <w:sz w:val="24"/>
                <w:szCs w:val="24"/>
              </w:rPr>
              <w:t xml:space="preserve"> Михаил Николаевич</w:t>
            </w:r>
          </w:p>
        </w:tc>
      </w:tr>
      <w:tr w:rsidR="00CF0080" w:rsidRPr="00BB6156" w:rsidTr="00BB6156">
        <w:tc>
          <w:tcPr>
            <w:tcW w:w="3652" w:type="dxa"/>
          </w:tcPr>
          <w:p w:rsidR="00CF0080" w:rsidRPr="00BB6156" w:rsidRDefault="00CF0080" w:rsidP="00BB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156">
              <w:rPr>
                <w:rFonts w:ascii="Times New Roman" w:hAnsi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5919" w:type="dxa"/>
          </w:tcPr>
          <w:p w:rsidR="00CF0080" w:rsidRPr="00BB6156" w:rsidRDefault="006300CF" w:rsidP="00BB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</w:t>
            </w:r>
            <w:r w:rsidR="00CF0080" w:rsidRPr="00BB6156">
              <w:rPr>
                <w:rFonts w:ascii="Times New Roman" w:hAnsi="Times New Roman"/>
                <w:sz w:val="24"/>
                <w:szCs w:val="24"/>
              </w:rPr>
              <w:t xml:space="preserve"> физ.-мат. наук</w:t>
            </w:r>
          </w:p>
        </w:tc>
      </w:tr>
      <w:tr w:rsidR="00CF0080" w:rsidRPr="00BB6156" w:rsidTr="00BB6156">
        <w:tc>
          <w:tcPr>
            <w:tcW w:w="3652" w:type="dxa"/>
          </w:tcPr>
          <w:p w:rsidR="00CF0080" w:rsidRPr="00BB6156" w:rsidRDefault="00CF0080" w:rsidP="00BB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156">
              <w:rPr>
                <w:rFonts w:ascii="Times New Roman" w:hAnsi="Times New Roman"/>
                <w:sz w:val="24"/>
                <w:szCs w:val="24"/>
                <w:lang w:eastAsia="ru-RU"/>
              </w:rPr>
              <w:t>Отрасль науки, по которой защищена диссертация</w:t>
            </w:r>
          </w:p>
        </w:tc>
        <w:tc>
          <w:tcPr>
            <w:tcW w:w="5919" w:type="dxa"/>
          </w:tcPr>
          <w:p w:rsidR="00CF0080" w:rsidRPr="00BB6156" w:rsidRDefault="007522EC" w:rsidP="00630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01.04.21 – Лазерная физика </w:t>
            </w:r>
            <w:r w:rsidR="00CF0080" w:rsidRPr="00BB6156">
              <w:rPr>
                <w:rFonts w:ascii="Times New Roman" w:hAnsi="Times New Roman"/>
                <w:sz w:val="24"/>
                <w:szCs w:val="24"/>
              </w:rPr>
              <w:t>(физ.-мат. науки)</w:t>
            </w:r>
          </w:p>
        </w:tc>
      </w:tr>
      <w:tr w:rsidR="007522EC" w:rsidRPr="00BB6156" w:rsidTr="00BB6156">
        <w:tc>
          <w:tcPr>
            <w:tcW w:w="3652" w:type="dxa"/>
          </w:tcPr>
          <w:p w:rsidR="007522EC" w:rsidRPr="00BB6156" w:rsidRDefault="007522EC" w:rsidP="00BB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156">
              <w:rPr>
                <w:rFonts w:ascii="Times New Roman" w:hAnsi="Times New Roman"/>
                <w:sz w:val="24"/>
                <w:szCs w:val="24"/>
                <w:lang w:eastAsia="ru-RU"/>
              </w:rPr>
              <w:t>Полное и сокращенное наименование организации, являющейся основным местом работы</w:t>
            </w:r>
          </w:p>
        </w:tc>
        <w:tc>
          <w:tcPr>
            <w:tcW w:w="5919" w:type="dxa"/>
          </w:tcPr>
          <w:p w:rsidR="007522EC" w:rsidRPr="00346993" w:rsidRDefault="001406AF" w:rsidP="006352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6AF">
              <w:rPr>
                <w:rFonts w:ascii="Times New Roman" w:hAnsi="Times New Roman"/>
                <w:sz w:val="24"/>
                <w:szCs w:val="24"/>
              </w:rPr>
              <w:t xml:space="preserve">Общества с ограниченной ответственностью </w:t>
            </w:r>
            <w:r w:rsidR="007522EC" w:rsidRPr="007522EC">
              <w:rPr>
                <w:rFonts w:ascii="Times New Roman" w:hAnsi="Times New Roman"/>
                <w:sz w:val="24"/>
                <w:szCs w:val="24"/>
              </w:rPr>
              <w:t>"ФЕМТОНИКА"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(ООО </w:t>
            </w:r>
            <w:r w:rsidRPr="007522EC">
              <w:rPr>
                <w:rFonts w:ascii="Times New Roman" w:hAnsi="Times New Roman"/>
                <w:sz w:val="24"/>
                <w:szCs w:val="24"/>
              </w:rPr>
              <w:t>"ФЕМТОНИКА"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522EC" w:rsidRPr="00BB6156" w:rsidTr="00BB6156">
        <w:tc>
          <w:tcPr>
            <w:tcW w:w="3652" w:type="dxa"/>
          </w:tcPr>
          <w:p w:rsidR="007522EC" w:rsidRPr="00BB6156" w:rsidRDefault="007522EC" w:rsidP="00BB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15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919" w:type="dxa"/>
          </w:tcPr>
          <w:p w:rsidR="007522EC" w:rsidRPr="00BB6156" w:rsidRDefault="001406AF" w:rsidP="006352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6AF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группы</w:t>
            </w:r>
          </w:p>
        </w:tc>
      </w:tr>
      <w:tr w:rsidR="007522EC" w:rsidRPr="001406AF" w:rsidTr="00BB6156">
        <w:tc>
          <w:tcPr>
            <w:tcW w:w="3652" w:type="dxa"/>
          </w:tcPr>
          <w:p w:rsidR="007522EC" w:rsidRPr="00BB6156" w:rsidRDefault="007522EC" w:rsidP="00BB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B6156">
              <w:rPr>
                <w:rFonts w:ascii="Times New Roman" w:hAnsi="Times New Roman"/>
                <w:sz w:val="24"/>
                <w:szCs w:val="24"/>
                <w:lang w:eastAsia="ru-RU"/>
              </w:rPr>
              <w:t>Список основных публикаций по теме диссертации в рецензируемых научных изданиях за последние 5 лет (не более 15)</w:t>
            </w:r>
            <w:proofErr w:type="gramEnd"/>
          </w:p>
        </w:tc>
        <w:tc>
          <w:tcPr>
            <w:tcW w:w="5919" w:type="dxa"/>
          </w:tcPr>
          <w:p w:rsidR="007522EC" w:rsidRPr="001406AF" w:rsidRDefault="001406AF" w:rsidP="001406AF">
            <w:pPr>
              <w:pStyle w:val="a7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Kopylov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D. A., </w:t>
            </w:r>
            <w:proofErr w:type="spellStart"/>
            <w:r>
              <w:rPr>
                <w:sz w:val="24"/>
                <w:szCs w:val="24"/>
                <w:lang w:val="en-US"/>
              </w:rPr>
              <w:t>Esaulkov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M. N., </w:t>
            </w:r>
            <w:proofErr w:type="spellStart"/>
            <w:r>
              <w:rPr>
                <w:sz w:val="24"/>
                <w:szCs w:val="24"/>
                <w:lang w:val="en-US"/>
              </w:rPr>
              <w:t>Kuritsyn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I. I., </w:t>
            </w:r>
            <w:proofErr w:type="spellStart"/>
            <w:r>
              <w:rPr>
                <w:sz w:val="24"/>
                <w:szCs w:val="24"/>
                <w:lang w:val="en-US"/>
              </w:rPr>
              <w:t>Mavritskiy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A. O., </w:t>
            </w:r>
            <w:proofErr w:type="spellStart"/>
            <w:r>
              <w:rPr>
                <w:sz w:val="24"/>
                <w:szCs w:val="24"/>
                <w:lang w:val="en-US"/>
              </w:rPr>
              <w:t>Perminov</w:t>
            </w:r>
            <w:proofErr w:type="spellEnd"/>
            <w:r w:rsidRPr="001406AF">
              <w:rPr>
                <w:sz w:val="24"/>
                <w:szCs w:val="24"/>
                <w:lang w:val="en-US"/>
              </w:rPr>
              <w:t xml:space="preserve"> B. E., </w:t>
            </w:r>
            <w:proofErr w:type="spellStart"/>
            <w:r w:rsidRPr="001406AF">
              <w:rPr>
                <w:sz w:val="24"/>
                <w:szCs w:val="24"/>
                <w:lang w:val="en-US"/>
              </w:rPr>
              <w:t>Konyashchenko</w:t>
            </w:r>
            <w:proofErr w:type="spellEnd"/>
            <w:r w:rsidRPr="001406AF">
              <w:rPr>
                <w:sz w:val="24"/>
                <w:szCs w:val="24"/>
                <w:lang w:val="en-US"/>
              </w:rPr>
              <w:t xml:space="preserve"> A. V., </w:t>
            </w:r>
            <w:proofErr w:type="spellStart"/>
            <w:r>
              <w:rPr>
                <w:sz w:val="24"/>
                <w:szCs w:val="24"/>
                <w:lang w:val="en-US"/>
              </w:rPr>
              <w:t>Maydykovskiy</w:t>
            </w:r>
            <w:proofErr w:type="spellEnd"/>
            <w:r w:rsidRPr="001406AF">
              <w:rPr>
                <w:sz w:val="24"/>
                <w:szCs w:val="24"/>
                <w:lang w:val="en-US"/>
              </w:rPr>
              <w:t xml:space="preserve"> A. I. Kerr-lens mode-locked Ti: Sapphire laser pumped by a single laser diode // Laser Physics Letters. – 2018. – Т. 15. – №. 4. – С. 045001.</w:t>
            </w:r>
          </w:p>
          <w:p w:rsidR="001406AF" w:rsidRPr="001406AF" w:rsidRDefault="001406AF" w:rsidP="001406AF">
            <w:pPr>
              <w:pStyle w:val="a7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406AF">
              <w:rPr>
                <w:sz w:val="24"/>
                <w:szCs w:val="24"/>
                <w:lang w:val="en-US"/>
              </w:rPr>
              <w:t>Kosareva</w:t>
            </w:r>
            <w:proofErr w:type="spellEnd"/>
            <w:r w:rsidRPr="001406AF">
              <w:rPr>
                <w:sz w:val="24"/>
                <w:szCs w:val="24"/>
                <w:lang w:val="en-US"/>
              </w:rPr>
              <w:t xml:space="preserve"> O., </w:t>
            </w:r>
            <w:proofErr w:type="spellStart"/>
            <w:r w:rsidRPr="001406AF">
              <w:rPr>
                <w:sz w:val="24"/>
                <w:szCs w:val="24"/>
                <w:lang w:val="en-US"/>
              </w:rPr>
              <w:t>Esaulkov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M., </w:t>
            </w:r>
            <w:proofErr w:type="spellStart"/>
            <w:r>
              <w:rPr>
                <w:sz w:val="24"/>
                <w:szCs w:val="24"/>
                <w:lang w:val="en-US"/>
              </w:rPr>
              <w:t>Panov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N., </w:t>
            </w:r>
            <w:proofErr w:type="spellStart"/>
            <w:r>
              <w:rPr>
                <w:sz w:val="24"/>
                <w:szCs w:val="24"/>
                <w:lang w:val="en-US"/>
              </w:rPr>
              <w:t>Andreeva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V., </w:t>
            </w:r>
            <w:proofErr w:type="spellStart"/>
            <w:r>
              <w:rPr>
                <w:sz w:val="24"/>
                <w:szCs w:val="24"/>
                <w:lang w:val="en-US"/>
              </w:rPr>
              <w:t>Shipilo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D., </w:t>
            </w:r>
            <w:proofErr w:type="spellStart"/>
            <w:r>
              <w:rPr>
                <w:sz w:val="24"/>
                <w:szCs w:val="24"/>
                <w:lang w:val="en-US"/>
              </w:rPr>
              <w:t>Solyankin</w:t>
            </w:r>
            <w:proofErr w:type="spellEnd"/>
            <w:r w:rsidRPr="001406AF">
              <w:rPr>
                <w:sz w:val="24"/>
                <w:szCs w:val="24"/>
                <w:lang w:val="en-US"/>
              </w:rPr>
              <w:t xml:space="preserve"> P., </w:t>
            </w:r>
            <w:proofErr w:type="spellStart"/>
            <w:r w:rsidRPr="001406AF">
              <w:rPr>
                <w:sz w:val="24"/>
                <w:szCs w:val="24"/>
                <w:lang w:val="en-US"/>
              </w:rPr>
              <w:t>Save</w:t>
            </w:r>
            <w:r>
              <w:rPr>
                <w:sz w:val="24"/>
                <w:szCs w:val="24"/>
                <w:lang w:val="en-US"/>
              </w:rPr>
              <w:t>l’ev</w:t>
            </w:r>
            <w:proofErr w:type="spellEnd"/>
            <w:r w:rsidRPr="001406AF">
              <w:rPr>
                <w:sz w:val="24"/>
                <w:szCs w:val="24"/>
                <w:lang w:val="en-US"/>
              </w:rPr>
              <w:t xml:space="preserve"> A. Polarization control of terahertz radiation from two-color femtosecond gas breakdown plasma // Optics Letters. – 2018. – Т. 43. – №. 1. – С. 90-93.</w:t>
            </w:r>
          </w:p>
          <w:p w:rsidR="001406AF" w:rsidRDefault="00D5614C" w:rsidP="001406AF">
            <w:pPr>
              <w:pStyle w:val="a7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Shkurinov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A. P., </w:t>
            </w:r>
            <w:proofErr w:type="spellStart"/>
            <w:r>
              <w:rPr>
                <w:sz w:val="24"/>
                <w:szCs w:val="24"/>
                <w:lang w:val="en-US"/>
              </w:rPr>
              <w:t>Sinko</w:t>
            </w:r>
            <w:proofErr w:type="spellEnd"/>
            <w:r w:rsidRPr="00D5614C">
              <w:rPr>
                <w:sz w:val="24"/>
                <w:szCs w:val="24"/>
                <w:lang w:val="en-US"/>
              </w:rPr>
              <w:t xml:space="preserve"> A. S., </w:t>
            </w:r>
            <w:proofErr w:type="spellStart"/>
            <w:r w:rsidRPr="00D5614C">
              <w:rPr>
                <w:sz w:val="24"/>
                <w:szCs w:val="24"/>
                <w:lang w:val="en-US"/>
              </w:rPr>
              <w:t>Sol</w:t>
            </w:r>
            <w:r>
              <w:rPr>
                <w:sz w:val="24"/>
                <w:szCs w:val="24"/>
                <w:lang w:val="en-US"/>
              </w:rPr>
              <w:t>yankin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P. M., Borodin</w:t>
            </w:r>
            <w:r w:rsidRPr="00D5614C">
              <w:rPr>
                <w:sz w:val="24"/>
                <w:szCs w:val="24"/>
                <w:lang w:val="en-US"/>
              </w:rPr>
              <w:t xml:space="preserve"> A. V., </w:t>
            </w:r>
            <w:proofErr w:type="spellStart"/>
            <w:r w:rsidRPr="00D5614C">
              <w:rPr>
                <w:sz w:val="24"/>
                <w:szCs w:val="24"/>
                <w:lang w:val="en-US"/>
              </w:rPr>
              <w:t>Esaulko</w:t>
            </w:r>
            <w:r>
              <w:rPr>
                <w:sz w:val="24"/>
                <w:szCs w:val="24"/>
                <w:lang w:val="en-US"/>
              </w:rPr>
              <w:t>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M. N., </w:t>
            </w:r>
            <w:proofErr w:type="spellStart"/>
            <w:r>
              <w:rPr>
                <w:sz w:val="24"/>
                <w:szCs w:val="24"/>
                <w:lang w:val="en-US"/>
              </w:rPr>
              <w:t>Annenkov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V. V., Zhang</w:t>
            </w:r>
            <w:r w:rsidRPr="00D5614C">
              <w:rPr>
                <w:sz w:val="24"/>
                <w:szCs w:val="24"/>
                <w:lang w:val="en-US"/>
              </w:rPr>
              <w:t xml:space="preserve"> X. C. Impact of the dipole contribution on the terahertz emission of air-based plasma induced by tightly focused femtosecond laser pulses //</w:t>
            </w:r>
            <w:r w:rsidR="000261C7">
              <w:rPr>
                <w:sz w:val="24"/>
                <w:szCs w:val="24"/>
                <w:lang w:val="en-US"/>
              </w:rPr>
              <w:t xml:space="preserve"> </w:t>
            </w:r>
            <w:r w:rsidRPr="00D5614C">
              <w:rPr>
                <w:sz w:val="24"/>
                <w:szCs w:val="24"/>
                <w:lang w:val="en-US"/>
              </w:rPr>
              <w:t>Physical Review E. – 2017. – Т. 95. – №. 4. – С. 043209.</w:t>
            </w:r>
          </w:p>
          <w:p w:rsidR="00D5614C" w:rsidRDefault="000261C7" w:rsidP="001406AF">
            <w:pPr>
              <w:pStyle w:val="a7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Solyankin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P. M., </w:t>
            </w:r>
            <w:proofErr w:type="spellStart"/>
            <w:r>
              <w:rPr>
                <w:sz w:val="24"/>
                <w:szCs w:val="24"/>
                <w:lang w:val="en-US"/>
              </w:rPr>
              <w:t>Esaulkov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M. N., </w:t>
            </w:r>
            <w:proofErr w:type="spellStart"/>
            <w:r>
              <w:rPr>
                <w:sz w:val="24"/>
                <w:szCs w:val="24"/>
                <w:lang w:val="en-US"/>
              </w:rPr>
              <w:t>Chernykh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I. A., Kulikov</w:t>
            </w:r>
            <w:r w:rsidRPr="000261C7">
              <w:rPr>
                <w:sz w:val="24"/>
                <w:szCs w:val="24"/>
                <w:lang w:val="en-US"/>
              </w:rPr>
              <w:t xml:space="preserve"> I. V., </w:t>
            </w:r>
            <w:proofErr w:type="spellStart"/>
            <w:r w:rsidRPr="000261C7">
              <w:rPr>
                <w:sz w:val="24"/>
                <w:szCs w:val="24"/>
                <w:lang w:val="en-US"/>
              </w:rPr>
              <w:t>Zanav</w:t>
            </w:r>
            <w:r>
              <w:rPr>
                <w:sz w:val="24"/>
                <w:szCs w:val="24"/>
                <w:lang w:val="en-US"/>
              </w:rPr>
              <w:t>eskin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M. L., </w:t>
            </w:r>
            <w:proofErr w:type="spellStart"/>
            <w:r>
              <w:rPr>
                <w:sz w:val="24"/>
                <w:szCs w:val="24"/>
                <w:lang w:val="en-US"/>
              </w:rPr>
              <w:t>Kaul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A. R., </w:t>
            </w:r>
            <w:proofErr w:type="spellStart"/>
            <w:r>
              <w:rPr>
                <w:sz w:val="24"/>
                <w:szCs w:val="24"/>
                <w:lang w:val="en-US"/>
              </w:rPr>
              <w:t>Shkurinov</w:t>
            </w:r>
            <w:proofErr w:type="spellEnd"/>
            <w:r w:rsidRPr="000261C7">
              <w:rPr>
                <w:sz w:val="24"/>
                <w:szCs w:val="24"/>
                <w:lang w:val="en-US"/>
              </w:rPr>
              <w:t xml:space="preserve"> A. P. Terahertz switching focuser based on thin film vanadium dioxide zone plate //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0261C7">
              <w:rPr>
                <w:sz w:val="24"/>
                <w:szCs w:val="24"/>
                <w:lang w:val="en-US"/>
              </w:rPr>
              <w:t>Journal of Infrared, Millimeter, and Terahertz Waves. – 2018. – Т. 39. – №. 12. – С. 1203-1210.</w:t>
            </w:r>
          </w:p>
          <w:p w:rsidR="000261C7" w:rsidRDefault="001E67F2" w:rsidP="001E67F2">
            <w:pPr>
              <w:pStyle w:val="a7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E67F2">
              <w:rPr>
                <w:sz w:val="24"/>
                <w:szCs w:val="24"/>
                <w:lang w:val="en-US"/>
              </w:rPr>
              <w:t>Esaulkov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M. N., Fokina M. I., </w:t>
            </w:r>
            <w:proofErr w:type="spellStart"/>
            <w:r>
              <w:rPr>
                <w:sz w:val="24"/>
                <w:szCs w:val="24"/>
                <w:lang w:val="en-US"/>
              </w:rPr>
              <w:t>Zulina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N. A., </w:t>
            </w:r>
            <w:proofErr w:type="spellStart"/>
            <w:r>
              <w:rPr>
                <w:sz w:val="24"/>
                <w:szCs w:val="24"/>
                <w:lang w:val="en-US"/>
              </w:rPr>
              <w:t>Timofeeva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T. V., </w:t>
            </w:r>
            <w:proofErr w:type="spellStart"/>
            <w:r>
              <w:rPr>
                <w:sz w:val="24"/>
                <w:szCs w:val="24"/>
                <w:lang w:val="en-US"/>
              </w:rPr>
              <w:t>Shkurinov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A. P., </w:t>
            </w:r>
            <w:proofErr w:type="spellStart"/>
            <w:r>
              <w:rPr>
                <w:sz w:val="24"/>
                <w:szCs w:val="24"/>
                <w:lang w:val="en-US"/>
              </w:rPr>
              <w:t>Denisyuk</w:t>
            </w:r>
            <w:proofErr w:type="spellEnd"/>
            <w:r w:rsidRPr="001E67F2">
              <w:rPr>
                <w:sz w:val="24"/>
                <w:szCs w:val="24"/>
                <w:lang w:val="en-US"/>
              </w:rPr>
              <w:t xml:space="preserve"> I. Y. </w:t>
            </w:r>
            <w:proofErr w:type="spellStart"/>
            <w:r w:rsidRPr="001E67F2">
              <w:rPr>
                <w:sz w:val="24"/>
                <w:szCs w:val="24"/>
                <w:lang w:val="en-US"/>
              </w:rPr>
              <w:t>Aminopyridines</w:t>
            </w:r>
            <w:proofErr w:type="spellEnd"/>
            <w:r w:rsidRPr="001E67F2">
              <w:rPr>
                <w:sz w:val="24"/>
                <w:szCs w:val="24"/>
                <w:lang w:val="en-US"/>
              </w:rPr>
              <w:t xml:space="preserve"> and 4-nitrophenol </w:t>
            </w:r>
            <w:proofErr w:type="spellStart"/>
            <w:r w:rsidRPr="001E67F2">
              <w:rPr>
                <w:sz w:val="24"/>
                <w:szCs w:val="24"/>
                <w:lang w:val="en-US"/>
              </w:rPr>
              <w:t>cocrystals</w:t>
            </w:r>
            <w:proofErr w:type="spellEnd"/>
            <w:r w:rsidRPr="001E67F2">
              <w:rPr>
                <w:sz w:val="24"/>
                <w:szCs w:val="24"/>
                <w:lang w:val="en-US"/>
              </w:rPr>
              <w:t xml:space="preserve"> for terahertz application //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1E67F2">
              <w:rPr>
                <w:sz w:val="24"/>
                <w:szCs w:val="24"/>
                <w:lang w:val="en-US"/>
              </w:rPr>
              <w:t xml:space="preserve">Optics &amp; Laser Technology. – 2018. – Т. 108. – </w:t>
            </w:r>
            <w:proofErr w:type="gramStart"/>
            <w:r w:rsidRPr="001E67F2">
              <w:rPr>
                <w:sz w:val="24"/>
                <w:szCs w:val="24"/>
                <w:lang w:val="en-US"/>
              </w:rPr>
              <w:t>С. 450</w:t>
            </w:r>
            <w:proofErr w:type="gramEnd"/>
            <w:r w:rsidRPr="001E67F2">
              <w:rPr>
                <w:sz w:val="24"/>
                <w:szCs w:val="24"/>
                <w:lang w:val="en-US"/>
              </w:rPr>
              <w:t>-455.</w:t>
            </w:r>
          </w:p>
          <w:p w:rsidR="001E67F2" w:rsidRPr="00B55A6D" w:rsidRDefault="001E67F2" w:rsidP="001E67F2">
            <w:pPr>
              <w:pStyle w:val="a7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E67F2">
              <w:rPr>
                <w:sz w:val="24"/>
                <w:szCs w:val="24"/>
                <w:lang w:val="en-US"/>
              </w:rPr>
              <w:t>Balakin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A. V., </w:t>
            </w:r>
            <w:proofErr w:type="spellStart"/>
            <w:r>
              <w:rPr>
                <w:sz w:val="24"/>
                <w:szCs w:val="24"/>
                <w:lang w:val="en-US"/>
              </w:rPr>
              <w:t>Dzhidzhoev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M. S., </w:t>
            </w:r>
            <w:proofErr w:type="spellStart"/>
            <w:r>
              <w:rPr>
                <w:sz w:val="24"/>
                <w:szCs w:val="24"/>
                <w:lang w:val="en-US"/>
              </w:rPr>
              <w:t>Gordienko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V. M., </w:t>
            </w:r>
            <w:proofErr w:type="spellStart"/>
            <w:r>
              <w:rPr>
                <w:sz w:val="24"/>
                <w:szCs w:val="24"/>
                <w:lang w:val="en-US"/>
              </w:rPr>
              <w:t>Esaulkov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M. N., </w:t>
            </w:r>
            <w:proofErr w:type="spellStart"/>
            <w:r>
              <w:rPr>
                <w:sz w:val="24"/>
                <w:szCs w:val="24"/>
                <w:lang w:val="en-US"/>
              </w:rPr>
              <w:t>Zhvaniya</w:t>
            </w:r>
            <w:proofErr w:type="spellEnd"/>
            <w:r w:rsidRPr="001E67F2">
              <w:rPr>
                <w:sz w:val="24"/>
                <w:szCs w:val="24"/>
                <w:lang w:val="en-US"/>
              </w:rPr>
              <w:t xml:space="preserve"> I. A., Ivanov</w:t>
            </w:r>
            <w:r>
              <w:rPr>
                <w:sz w:val="24"/>
                <w:szCs w:val="24"/>
                <w:lang w:val="en-US"/>
              </w:rPr>
              <w:t xml:space="preserve"> K. A., </w:t>
            </w:r>
            <w:proofErr w:type="spellStart"/>
            <w:r>
              <w:rPr>
                <w:sz w:val="24"/>
                <w:szCs w:val="24"/>
                <w:lang w:val="en-US"/>
              </w:rPr>
              <w:t>Shkurinov</w:t>
            </w:r>
            <w:proofErr w:type="spellEnd"/>
            <w:r w:rsidRPr="001E67F2">
              <w:rPr>
                <w:sz w:val="24"/>
                <w:szCs w:val="24"/>
                <w:lang w:val="en-US"/>
              </w:rPr>
              <w:t xml:space="preserve"> A. P. Interaction of high-intensity femtosecond radiation with gas cluster beam: Effect of pulse duration on joint terahertz and X-ray emission //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1E67F2">
              <w:rPr>
                <w:sz w:val="24"/>
                <w:szCs w:val="24"/>
                <w:lang w:val="en-US"/>
              </w:rPr>
              <w:t>IEEE Transactions on Terahertz Science and Technology. – 2016. – Т. 7. – №. 1. – С. 70-79.</w:t>
            </w:r>
          </w:p>
        </w:tc>
      </w:tr>
    </w:tbl>
    <w:p w:rsidR="00CF0080" w:rsidRPr="00B55A6D" w:rsidRDefault="00CF0080" w:rsidP="00632405">
      <w:pPr>
        <w:spacing w:after="0" w:line="240" w:lineRule="auto"/>
        <w:rPr>
          <w:rFonts w:ascii="Times New Roman" w:hAnsi="Times New Roman"/>
          <w:sz w:val="32"/>
          <w:szCs w:val="32"/>
          <w:lang w:val="en-US" w:eastAsia="ru-RU"/>
        </w:rPr>
      </w:pPr>
    </w:p>
    <w:sectPr w:rsidR="00CF0080" w:rsidRPr="00B55A6D" w:rsidSect="0041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92B9F"/>
    <w:multiLevelType w:val="singleLevel"/>
    <w:tmpl w:val="0A3AA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41EF4060"/>
    <w:multiLevelType w:val="hybridMultilevel"/>
    <w:tmpl w:val="F98CFF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1121C5"/>
    <w:multiLevelType w:val="hybridMultilevel"/>
    <w:tmpl w:val="8FCCFD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11"/>
    <w:rsid w:val="000261C7"/>
    <w:rsid w:val="00067190"/>
    <w:rsid w:val="00087846"/>
    <w:rsid w:val="000A7EAF"/>
    <w:rsid w:val="000D6B8B"/>
    <w:rsid w:val="000F0E66"/>
    <w:rsid w:val="001251DB"/>
    <w:rsid w:val="0013163C"/>
    <w:rsid w:val="001406AF"/>
    <w:rsid w:val="00165FCC"/>
    <w:rsid w:val="001A1D12"/>
    <w:rsid w:val="001C1ADB"/>
    <w:rsid w:val="001D1DD4"/>
    <w:rsid w:val="001E67F2"/>
    <w:rsid w:val="00215062"/>
    <w:rsid w:val="002E1950"/>
    <w:rsid w:val="00334396"/>
    <w:rsid w:val="00346993"/>
    <w:rsid w:val="0037266B"/>
    <w:rsid w:val="003D7A73"/>
    <w:rsid w:val="003F0F3C"/>
    <w:rsid w:val="00415D0D"/>
    <w:rsid w:val="00424921"/>
    <w:rsid w:val="00434FF9"/>
    <w:rsid w:val="004875D0"/>
    <w:rsid w:val="004F2AC1"/>
    <w:rsid w:val="00527FAD"/>
    <w:rsid w:val="005478B2"/>
    <w:rsid w:val="00592E52"/>
    <w:rsid w:val="00593CBD"/>
    <w:rsid w:val="005A0FCB"/>
    <w:rsid w:val="005C3E83"/>
    <w:rsid w:val="006172A9"/>
    <w:rsid w:val="006300CF"/>
    <w:rsid w:val="00632405"/>
    <w:rsid w:val="00635204"/>
    <w:rsid w:val="00654AE6"/>
    <w:rsid w:val="00692017"/>
    <w:rsid w:val="006B1299"/>
    <w:rsid w:val="006C01BE"/>
    <w:rsid w:val="006D4719"/>
    <w:rsid w:val="007160B9"/>
    <w:rsid w:val="00720474"/>
    <w:rsid w:val="007522EC"/>
    <w:rsid w:val="00830E8E"/>
    <w:rsid w:val="008B533F"/>
    <w:rsid w:val="009028B5"/>
    <w:rsid w:val="009550AA"/>
    <w:rsid w:val="00983746"/>
    <w:rsid w:val="00991DE7"/>
    <w:rsid w:val="009A668D"/>
    <w:rsid w:val="009B0B00"/>
    <w:rsid w:val="009C38B0"/>
    <w:rsid w:val="009E4CAE"/>
    <w:rsid w:val="00AA7911"/>
    <w:rsid w:val="00AD5384"/>
    <w:rsid w:val="00B01A2E"/>
    <w:rsid w:val="00B45166"/>
    <w:rsid w:val="00B55A6D"/>
    <w:rsid w:val="00B574EF"/>
    <w:rsid w:val="00B801BA"/>
    <w:rsid w:val="00BB4F20"/>
    <w:rsid w:val="00BB6156"/>
    <w:rsid w:val="00BF6151"/>
    <w:rsid w:val="00CA1B13"/>
    <w:rsid w:val="00CF0080"/>
    <w:rsid w:val="00D5614C"/>
    <w:rsid w:val="00D822C6"/>
    <w:rsid w:val="00D83435"/>
    <w:rsid w:val="00DB333A"/>
    <w:rsid w:val="00DC6ED8"/>
    <w:rsid w:val="00E07AD2"/>
    <w:rsid w:val="00E1665E"/>
    <w:rsid w:val="00E6725E"/>
    <w:rsid w:val="00E8510B"/>
    <w:rsid w:val="00F118C8"/>
    <w:rsid w:val="00F175B2"/>
    <w:rsid w:val="00F4235B"/>
    <w:rsid w:val="00F92A80"/>
    <w:rsid w:val="00FA7483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7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F118C8"/>
    <w:pPr>
      <w:ind w:left="720"/>
      <w:contextualSpacing/>
    </w:pPr>
  </w:style>
  <w:style w:type="character" w:styleId="a5">
    <w:name w:val="Hyperlink"/>
    <w:uiPriority w:val="99"/>
    <w:rsid w:val="006C01BE"/>
    <w:rPr>
      <w:rFonts w:cs="Times New Roman"/>
      <w:color w:val="0000FF"/>
      <w:u w:val="single"/>
    </w:rPr>
  </w:style>
  <w:style w:type="character" w:styleId="a6">
    <w:name w:val="Emphasis"/>
    <w:uiPriority w:val="99"/>
    <w:qFormat/>
    <w:rsid w:val="006C01BE"/>
    <w:rPr>
      <w:rFonts w:cs="Times New Roman"/>
      <w:i/>
      <w:iCs/>
    </w:rPr>
  </w:style>
  <w:style w:type="character" w:customStyle="1" w:styleId="hlfld-contribauthor">
    <w:name w:val="hlfld-contribauthor"/>
    <w:uiPriority w:val="99"/>
    <w:rsid w:val="006C01BE"/>
    <w:rPr>
      <w:rFonts w:cs="Times New Roman"/>
    </w:rPr>
  </w:style>
  <w:style w:type="character" w:customStyle="1" w:styleId="cited-contentcbycitationarticle-contributors">
    <w:name w:val="cited-content_cbycitation_article-contributors"/>
    <w:uiPriority w:val="99"/>
    <w:rsid w:val="006C01BE"/>
    <w:rPr>
      <w:rFonts w:cs="Times New Roman"/>
    </w:rPr>
  </w:style>
  <w:style w:type="character" w:customStyle="1" w:styleId="cited-contentcbycitationarticle-title">
    <w:name w:val="cited-content_cbycitation_article-title"/>
    <w:uiPriority w:val="99"/>
    <w:rsid w:val="006C01BE"/>
    <w:rPr>
      <w:rFonts w:cs="Times New Roman"/>
    </w:rPr>
  </w:style>
  <w:style w:type="character" w:customStyle="1" w:styleId="referencessource">
    <w:name w:val="references__source"/>
    <w:uiPriority w:val="99"/>
    <w:rsid w:val="006C01BE"/>
    <w:rPr>
      <w:rFonts w:cs="Times New Roman"/>
    </w:rPr>
  </w:style>
  <w:style w:type="character" w:customStyle="1" w:styleId="nlmyear">
    <w:name w:val="nlm_year"/>
    <w:uiPriority w:val="99"/>
    <w:rsid w:val="006C01BE"/>
    <w:rPr>
      <w:rFonts w:cs="Times New Roman"/>
    </w:rPr>
  </w:style>
  <w:style w:type="character" w:customStyle="1" w:styleId="nowrap">
    <w:name w:val="nowrap"/>
    <w:uiPriority w:val="99"/>
    <w:rsid w:val="006C01BE"/>
    <w:rPr>
      <w:rFonts w:cs="Times New Roman"/>
    </w:rPr>
  </w:style>
  <w:style w:type="character" w:customStyle="1" w:styleId="articleauthor-link">
    <w:name w:val="article__author-link"/>
    <w:uiPriority w:val="99"/>
    <w:rsid w:val="006C01BE"/>
    <w:rPr>
      <w:rFonts w:cs="Times New Roman"/>
    </w:rPr>
  </w:style>
  <w:style w:type="paragraph" w:styleId="a7">
    <w:name w:val="Body Text"/>
    <w:basedOn w:val="a"/>
    <w:link w:val="a8"/>
    <w:uiPriority w:val="99"/>
    <w:rsid w:val="00434FF9"/>
    <w:pPr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link w:val="a7"/>
    <w:uiPriority w:val="99"/>
    <w:semiHidden/>
    <w:rsid w:val="000E2D5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7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F118C8"/>
    <w:pPr>
      <w:ind w:left="720"/>
      <w:contextualSpacing/>
    </w:pPr>
  </w:style>
  <w:style w:type="character" w:styleId="a5">
    <w:name w:val="Hyperlink"/>
    <w:uiPriority w:val="99"/>
    <w:rsid w:val="006C01BE"/>
    <w:rPr>
      <w:rFonts w:cs="Times New Roman"/>
      <w:color w:val="0000FF"/>
      <w:u w:val="single"/>
    </w:rPr>
  </w:style>
  <w:style w:type="character" w:styleId="a6">
    <w:name w:val="Emphasis"/>
    <w:uiPriority w:val="99"/>
    <w:qFormat/>
    <w:rsid w:val="006C01BE"/>
    <w:rPr>
      <w:rFonts w:cs="Times New Roman"/>
      <w:i/>
      <w:iCs/>
    </w:rPr>
  </w:style>
  <w:style w:type="character" w:customStyle="1" w:styleId="hlfld-contribauthor">
    <w:name w:val="hlfld-contribauthor"/>
    <w:uiPriority w:val="99"/>
    <w:rsid w:val="006C01BE"/>
    <w:rPr>
      <w:rFonts w:cs="Times New Roman"/>
    </w:rPr>
  </w:style>
  <w:style w:type="character" w:customStyle="1" w:styleId="cited-contentcbycitationarticle-contributors">
    <w:name w:val="cited-content_cbycitation_article-contributors"/>
    <w:uiPriority w:val="99"/>
    <w:rsid w:val="006C01BE"/>
    <w:rPr>
      <w:rFonts w:cs="Times New Roman"/>
    </w:rPr>
  </w:style>
  <w:style w:type="character" w:customStyle="1" w:styleId="cited-contentcbycitationarticle-title">
    <w:name w:val="cited-content_cbycitation_article-title"/>
    <w:uiPriority w:val="99"/>
    <w:rsid w:val="006C01BE"/>
    <w:rPr>
      <w:rFonts w:cs="Times New Roman"/>
    </w:rPr>
  </w:style>
  <w:style w:type="character" w:customStyle="1" w:styleId="referencessource">
    <w:name w:val="references__source"/>
    <w:uiPriority w:val="99"/>
    <w:rsid w:val="006C01BE"/>
    <w:rPr>
      <w:rFonts w:cs="Times New Roman"/>
    </w:rPr>
  </w:style>
  <w:style w:type="character" w:customStyle="1" w:styleId="nlmyear">
    <w:name w:val="nlm_year"/>
    <w:uiPriority w:val="99"/>
    <w:rsid w:val="006C01BE"/>
    <w:rPr>
      <w:rFonts w:cs="Times New Roman"/>
    </w:rPr>
  </w:style>
  <w:style w:type="character" w:customStyle="1" w:styleId="nowrap">
    <w:name w:val="nowrap"/>
    <w:uiPriority w:val="99"/>
    <w:rsid w:val="006C01BE"/>
    <w:rPr>
      <w:rFonts w:cs="Times New Roman"/>
    </w:rPr>
  </w:style>
  <w:style w:type="character" w:customStyle="1" w:styleId="articleauthor-link">
    <w:name w:val="article__author-link"/>
    <w:uiPriority w:val="99"/>
    <w:rsid w:val="006C01BE"/>
    <w:rPr>
      <w:rFonts w:cs="Times New Roman"/>
    </w:rPr>
  </w:style>
  <w:style w:type="paragraph" w:styleId="a7">
    <w:name w:val="Body Text"/>
    <w:basedOn w:val="a"/>
    <w:link w:val="a8"/>
    <w:uiPriority w:val="99"/>
    <w:rsid w:val="00434FF9"/>
    <w:pPr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link w:val="a7"/>
    <w:uiPriority w:val="99"/>
    <w:semiHidden/>
    <w:rsid w:val="000E2D5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0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официальном оппоненте</vt:lpstr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официальном оппоненте</dc:title>
  <dc:creator>ОНТИ</dc:creator>
  <cp:lastModifiedBy>ЕГИСМ</cp:lastModifiedBy>
  <cp:revision>2</cp:revision>
  <dcterms:created xsi:type="dcterms:W3CDTF">2022-03-31T07:19:00Z</dcterms:created>
  <dcterms:modified xsi:type="dcterms:W3CDTF">2022-03-31T07:19:00Z</dcterms:modified>
</cp:coreProperties>
</file>