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FA" w:rsidRPr="002F04F5" w:rsidRDefault="00F71AFA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</w:p>
    <w:p w:rsidR="00E85952" w:rsidRPr="002F04F5" w:rsidRDefault="00E85952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4F5">
        <w:rPr>
          <w:rFonts w:ascii="Times New Roman" w:eastAsia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E85952" w:rsidRPr="002F04F5" w:rsidRDefault="00E85952" w:rsidP="00E85952">
      <w:pPr>
        <w:jc w:val="center"/>
        <w:rPr>
          <w:rFonts w:ascii="Times New Roman" w:hAnsi="Times New Roman" w:cs="Times New Roman"/>
        </w:rPr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8E5378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8E5378" w:rsidRDefault="008D1167" w:rsidP="00C6224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аименование ведущей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F71AFA" w:rsidRPr="008E5378" w:rsidRDefault="006A1798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  <w:p w:rsidR="008D1167" w:rsidRPr="008E5378" w:rsidRDefault="006A1798" w:rsidP="00C6224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ФИ</w:t>
            </w:r>
            <w:r w:rsidR="00F71AFA"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АН</w:t>
            </w:r>
          </w:p>
        </w:tc>
      </w:tr>
      <w:tr w:rsidR="00BE3367" w:rsidRPr="008E5378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BE3367" w:rsidRPr="008E5378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BE3367" w:rsidRPr="008E5378" w:rsidRDefault="006A1798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119991, ГСП-1 Москва, Ленинский проспект, д.53</w:t>
            </w:r>
          </w:p>
        </w:tc>
      </w:tr>
      <w:tr w:rsidR="00BE3367" w:rsidRPr="008E5378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BE3367" w:rsidRPr="008E5378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BE3367" w:rsidRPr="008E5378" w:rsidRDefault="006A1798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(499) 132-65-54</w:t>
            </w:r>
          </w:p>
        </w:tc>
      </w:tr>
      <w:tr w:rsidR="008D1167" w:rsidRPr="008E5378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8D1167" w:rsidRPr="008E5378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</w:tcPr>
          <w:p w:rsidR="008D1167" w:rsidRPr="008E5378" w:rsidRDefault="008817B3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" w:history="1">
              <w:r w:rsidR="006A1798" w:rsidRPr="008E5378">
                <w:rPr>
                  <w:rStyle w:val="a3"/>
                  <w:rFonts w:ascii="Times New Roman" w:hAnsi="Times New Roman" w:cs="Times New Roman"/>
                  <w:color w:val="0055BD"/>
                  <w:sz w:val="22"/>
                  <w:szCs w:val="22"/>
                  <w:shd w:val="clear" w:color="auto" w:fill="FFFFFF"/>
                </w:rPr>
                <w:t>office@lebedev.ru</w:t>
              </w:r>
            </w:hyperlink>
          </w:p>
        </w:tc>
      </w:tr>
      <w:tr w:rsidR="008D1167" w:rsidRPr="008E5378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8D1167" w:rsidRPr="008E5378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«Интернет» (при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</w:tcPr>
          <w:p w:rsidR="008D1167" w:rsidRPr="008E5378" w:rsidRDefault="006A1798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</w:rPr>
              <w:t>https://www.lebedev.ru/ru/main.html</w:t>
            </w:r>
          </w:p>
        </w:tc>
      </w:tr>
      <w:tr w:rsidR="00A31194" w:rsidRPr="004A76DF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8E5378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:rsidR="00326B75" w:rsidRPr="008E5378" w:rsidRDefault="00326B75" w:rsidP="00407E8E">
            <w:pPr>
              <w:pStyle w:val="2"/>
              <w:numPr>
                <w:ilvl w:val="0"/>
                <w:numId w:val="10"/>
              </w:numPr>
              <w:shd w:val="clear" w:color="auto" w:fill="FFFFFF"/>
              <w:spacing w:before="0"/>
              <w:ind w:left="4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Konyashchenko</w:t>
            </w:r>
            <w:proofErr w:type="spellEnd"/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A.V., </w:t>
            </w:r>
            <w:proofErr w:type="spellStart"/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Kostryukov</w:t>
            </w:r>
            <w:proofErr w:type="spellEnd"/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P.V., </w:t>
            </w:r>
            <w:proofErr w:type="spellStart"/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Losev</w:t>
            </w:r>
            <w:proofErr w:type="spellEnd"/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L.L., </w:t>
            </w:r>
            <w:proofErr w:type="spellStart"/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Pazyuk</w:t>
            </w:r>
            <w:proofErr w:type="spellEnd"/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V.S., Minimum possible laser pulse duration for SRS // Quantum Electronics, </w:t>
            </w:r>
            <w:r w:rsidR="008E5378"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2017, </w:t>
            </w:r>
            <w:r w:rsidRPr="008E537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vol. 47, No. 7, pp. 593-596</w:t>
            </w:r>
          </w:p>
          <w:p w:rsidR="00326B75" w:rsidRPr="008E5378" w:rsidRDefault="002F04F5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Shevchenko M.A.,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Tcherniega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N.V.,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Tareeva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M.V., Khmelnitsky R.A.,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Kudryavtseva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A.D.,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Savichev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V.I., Stimulated Raman Scattering in Photonic Crystals Infiltrated with Raman-Active Liquids // Journal of Russian Laser Research,</w:t>
            </w:r>
            <w:r w:rsid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2019,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vol. 40, No. 6, pp. 554-558</w:t>
            </w:r>
          </w:p>
          <w:p w:rsidR="002F04F5" w:rsidRPr="008E5378" w:rsidRDefault="002F04F5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Shevchenko M.A.,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Chaikov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L.L.,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Tcherniega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N.V., Coherent Stokes and anti-Stokes high-order components generation by biharmonic pumping via stimulated low-frequency Raman scattering // Spectrochimica Acta Part A – Molecular and Biomolecular Spectroscopy,</w:t>
            </w:r>
            <w:r w:rsid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2021,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vol. 245, 118902</w:t>
            </w:r>
          </w:p>
          <w:p w:rsidR="002F04F5" w:rsidRPr="008E5378" w:rsidRDefault="002F04F5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Kraiskii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A.V.,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Mel'nik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N.N., Determining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Eigenfrequencies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and Homogeneous Widths of Lines of Intermolecular Vibrations in Water and in Aqueous Solutions of Hydrogen Peroxide Using Raman Spectroscopy // Optics and Spectroscopy,</w:t>
            </w:r>
            <w:r w:rsid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2018,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vol. 124, No. 5, pp. 660-667</w:t>
            </w:r>
          </w:p>
          <w:p w:rsidR="002F04F5" w:rsidRPr="008E5378" w:rsidRDefault="002F04F5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Gorelik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V.S.,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Kudryavtseva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A.D.,</w:t>
            </w:r>
            <w:r w:rsidR="004637DD"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637DD"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Tareeva</w:t>
            </w:r>
            <w:proofErr w:type="spellEnd"/>
            <w:r w:rsidR="004637DD"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M.V., Tcherniega N.V., </w:t>
            </w:r>
            <w:proofErr w:type="spellStart"/>
            <w:r w:rsidR="004637DD"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Vodchits</w:t>
            </w:r>
            <w:proofErr w:type="spellEnd"/>
            <w:r w:rsidR="004637DD"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A.I., </w:t>
            </w:r>
            <w:proofErr w:type="spellStart"/>
            <w:r w:rsidR="004637DD"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Multifrequency</w:t>
            </w:r>
            <w:proofErr w:type="spellEnd"/>
            <w:r w:rsidR="004637DD"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Stimulated Raman Scattering of Light in Liquid Nitrogen Infiltrated into 3D Photonic Crystals // Bulletin of the Lebedev Physics Institute,</w:t>
            </w:r>
            <w:r w:rsid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2017,</w:t>
            </w:r>
            <w:r w:rsidR="004637DD"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vol. 44, No. 2, pp. 46-49</w:t>
            </w:r>
          </w:p>
          <w:p w:rsidR="004637DD" w:rsidRPr="008E5378" w:rsidRDefault="004637DD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Kraiskii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A.V.,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Mel'nik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N.N.,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Kraiskii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A.A., Features of the Distribution of Spectral Parameters of Intermolecular Vibrations in Water Obtained by Raman Spectroscopy // Optics and Spectroscopy,</w:t>
            </w:r>
            <w:r w:rsid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2020,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vol. 128, No. 2, pp. 191-199</w:t>
            </w:r>
          </w:p>
          <w:p w:rsidR="004637DD" w:rsidRPr="008E5378" w:rsidRDefault="004637DD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Gorelik V.S., Tcherniega N.V., Shevchenko M.A.,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Pyatyshev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A.Yu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., Bi D.X., Khmelnitsky R.A.,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Umanskaya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S.F., High efficiency stimulated low-frequency Raman scattering in a water suspension of dielectric submicron particles // Laser Physics Letters, </w:t>
            </w:r>
            <w:r w:rsid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2020, 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vol. 17, No. 10, 105401</w:t>
            </w:r>
          </w:p>
          <w:p w:rsidR="004637DD" w:rsidRDefault="00665687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Gorelik V.S.,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Bi D.X.,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Voinov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Yu.P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., 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Vodchits A.I.,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Orlovich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V.A.,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Savel'eva</w:t>
            </w:r>
            <w:proofErr w:type="spellEnd"/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A.I.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Spontaneous and Stimulated Raman Scattering in </w:t>
            </w:r>
            <w:proofErr w:type="spellStart"/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Protium</w:t>
            </w:r>
            <w:proofErr w:type="spellEnd"/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and Deuterium Water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// Optics and Spectroscopy, 2019, vol. 126, No. 6, pp. 687-692</w:t>
            </w:r>
          </w:p>
          <w:p w:rsidR="00665687" w:rsidRPr="00665687" w:rsidRDefault="00665687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Konyashchenko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</w:t>
            </w:r>
            <w:r w:rsidRPr="008E53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8E537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Losev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L.L</w:t>
            </w:r>
            <w:r w:rsidRPr="006656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6656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656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Pazyuk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V.S.</w:t>
            </w:r>
            <w:r w:rsidRPr="006656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6656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SRS of ultrashort laser pulses with nonlinear phase modulation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// Quantum Electronics, 2021, vol. 51, No. 3, pp. 217-221</w:t>
            </w:r>
          </w:p>
          <w:p w:rsidR="00665687" w:rsidRDefault="00665687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Gorelik V.S., Tcherniega N.V., Shevchenko M.A.,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Skrabatun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</w:t>
            </w:r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., 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Bi D.X.,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Baranov</w:t>
            </w:r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A.N.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Kudryavtseva</w:t>
            </w:r>
            <w:proofErr w:type="spellEnd"/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A.D.,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Maresev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A.N., </w:t>
            </w:r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Stimulated Raman scattering of light in suspension of diamond </w:t>
            </w:r>
            <w:proofErr w:type="spellStart"/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microparticles</w:t>
            </w:r>
            <w:proofErr w:type="spellEnd"/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in ethanol and in water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// 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Spectrochimica Acta Part A – Molecular and Biomolecular </w:t>
            </w:r>
            <w:r w:rsidRPr="008E537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Spectroscopy,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2020, vol. 237, 118418</w:t>
            </w:r>
          </w:p>
          <w:p w:rsidR="00665687" w:rsidRPr="00665687" w:rsidRDefault="00665687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Babenko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V.</w:t>
            </w:r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Bunkin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N.F.,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Sychev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A.A., </w:t>
            </w:r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Variation in the structure of a time-dependent SRS spectrum in </w:t>
            </w:r>
            <w:proofErr w:type="spellStart"/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microfiltered</w:t>
            </w:r>
            <w:proofErr w:type="spellEnd"/>
            <w:r w:rsidRPr="006656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water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//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Quantum Electronics, 2017, vol. 47, No. 10, pp. 901-905</w:t>
            </w:r>
          </w:p>
          <w:p w:rsidR="00665687" w:rsidRPr="008E5378" w:rsidRDefault="00665687" w:rsidP="00407E8E">
            <w:pPr>
              <w:pStyle w:val="a4"/>
              <w:numPr>
                <w:ilvl w:val="0"/>
                <w:numId w:val="10"/>
              </w:numPr>
              <w:ind w:left="408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Chulkov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R.V.,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Markevich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V.Y.,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Alyamani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A.Y.,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Cheshev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E.A., Orlovich V.A., </w:t>
            </w:r>
            <w:r w:rsidRPr="006656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Cavity length matching and optical resonances in a Raman laser with the multimode pump source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// Optics Letters, 2017, </w:t>
            </w:r>
            <w:r w:rsidR="00A644C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vol. 42, No. 23, pp. 4824-4827</w:t>
            </w:r>
          </w:p>
        </w:tc>
      </w:tr>
      <w:tr w:rsidR="00A31194" w:rsidRPr="004A76DF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8E5378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8E5378" w:rsidRDefault="00A31194" w:rsidP="008E537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E3367" w:rsidRPr="002F04F5" w:rsidRDefault="00BE3367" w:rsidP="00C6224C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  <w:sectPr w:rsidR="00BE3367" w:rsidRPr="002F04F5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2F04F5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BE3367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page2"/>
            <w:bookmarkEnd w:id="3"/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2F04F5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2F04F5" w:rsidRDefault="007E1232" w:rsidP="00C6224C">
            <w:pPr>
              <w:spacing w:line="256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представившего</w:t>
            </w: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2F04F5" w:rsidRDefault="006A1798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hAnsi="Times New Roman" w:cs="Times New Roman"/>
                <w:sz w:val="22"/>
                <w:szCs w:val="22"/>
              </w:rPr>
              <w:t>Чернега Николай Владимирович</w:t>
            </w:r>
          </w:p>
        </w:tc>
      </w:tr>
      <w:tr w:rsidR="00BE3367" w:rsidRPr="002F04F5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F71AFA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Доктор физико-математических наук</w:t>
            </w:r>
          </w:p>
        </w:tc>
      </w:tr>
      <w:tr w:rsidR="00BE3367" w:rsidRPr="002F04F5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BE3367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346A2" w:rsidRDefault="002617FE" w:rsidP="006A179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Ведущи</w:t>
            </w:r>
            <w:r w:rsidR="00F71AFA" w:rsidRPr="002F04F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й научный сотрудник (</w:t>
            </w:r>
            <w:hyperlink r:id="rId6" w:history="1">
              <w:r w:rsidR="00F71AFA" w:rsidRPr="002F04F5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CFCFC"/>
                </w:rPr>
                <w:t xml:space="preserve">Лаборатория </w:t>
              </w:r>
              <w:r w:rsidR="006A1798" w:rsidRPr="002F04F5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CFCFC"/>
                </w:rPr>
                <w:t>«Когерентная</w:t>
              </w:r>
            </w:hyperlink>
            <w:r w:rsidR="006A1798" w:rsidRPr="002F04F5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CFCFC"/>
              </w:rPr>
              <w:t xml:space="preserve"> оптика»</w:t>
            </w:r>
            <w:r w:rsidR="002346A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)</w:t>
            </w:r>
          </w:p>
        </w:tc>
      </w:tr>
      <w:tr w:rsidR="004A76DF" w:rsidRPr="002F04F5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2F04F5" w:rsidRDefault="004A76DF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2F04F5" w:rsidRDefault="004A76DF" w:rsidP="00BB1A7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79A">
              <w:rPr>
                <w:rFonts w:ascii="Times New Roman" w:eastAsia="Times New Roman" w:hAnsi="Times New Roman" w:cs="Times New Roman"/>
              </w:rPr>
              <w:t>Колачевский</w:t>
            </w:r>
            <w:proofErr w:type="spellEnd"/>
            <w:r w:rsidRPr="0075779A"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</w:tc>
        <w:bookmarkStart w:id="4" w:name="_GoBack"/>
        <w:bookmarkEnd w:id="4"/>
      </w:tr>
      <w:tr w:rsidR="004A76DF" w:rsidRPr="002F04F5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2F04F5" w:rsidRDefault="004A76DF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2F04F5" w:rsidRDefault="004A76DF" w:rsidP="00BB1A7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04F5">
              <w:rPr>
                <w:rFonts w:ascii="Times New Roman" w:hAnsi="Times New Roman" w:cs="Times New Roman"/>
                <w:shd w:val="clear" w:color="auto" w:fill="FCFCFC"/>
              </w:rPr>
              <w:t>Доктор физико-математических наук</w:t>
            </w:r>
            <w:r>
              <w:rPr>
                <w:rFonts w:ascii="Times New Roman" w:hAnsi="Times New Roman" w:cs="Times New Roman"/>
                <w:shd w:val="clear" w:color="auto" w:fill="FCFCFC"/>
              </w:rPr>
              <w:t>, член-корреспондент РАН</w:t>
            </w:r>
          </w:p>
        </w:tc>
      </w:tr>
      <w:tr w:rsidR="004A76DF" w:rsidRPr="002F04F5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2F04F5" w:rsidRDefault="004A76DF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DF" w:rsidRPr="002F04F5" w:rsidRDefault="004A76DF" w:rsidP="00BB1A7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0A6429">
              <w:rPr>
                <w:rFonts w:ascii="Times New Roman" w:eastAsia="Times New Roman" w:hAnsi="Times New Roman" w:cs="Times New Roman"/>
              </w:rPr>
              <w:t>иректор</w:t>
            </w:r>
          </w:p>
        </w:tc>
      </w:tr>
      <w:tr w:rsidR="006A1798" w:rsidRPr="002F04F5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 наименование ведущей организации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EB143A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F04F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  <w:p w:rsidR="006A1798" w:rsidRPr="002F04F5" w:rsidRDefault="006A1798" w:rsidP="00EB143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04F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ФИАН</w:t>
            </w:r>
          </w:p>
        </w:tc>
      </w:tr>
      <w:tr w:rsidR="006A1798" w:rsidRPr="002F04F5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EB143A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F04F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119991, ГСП-1 Москва, Ленинский проспект, д.53</w:t>
            </w:r>
          </w:p>
        </w:tc>
      </w:tr>
      <w:tr w:rsidR="006A1798" w:rsidRPr="002F04F5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EB143A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(499) 132-65-54</w:t>
            </w:r>
          </w:p>
        </w:tc>
      </w:tr>
      <w:tr w:rsidR="006A1798" w:rsidRPr="002F04F5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8817B3" w:rsidP="00EB143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" w:history="1">
              <w:r w:rsidR="006A1798" w:rsidRPr="002F04F5">
                <w:rPr>
                  <w:rStyle w:val="a3"/>
                  <w:rFonts w:ascii="Times New Roman" w:hAnsi="Times New Roman" w:cs="Times New Roman"/>
                  <w:color w:val="0055BD"/>
                  <w:sz w:val="22"/>
                  <w:shd w:val="clear" w:color="auto" w:fill="FFFFFF"/>
                </w:rPr>
                <w:t>office@lebedev.ru</w:t>
              </w:r>
            </w:hyperlink>
          </w:p>
        </w:tc>
      </w:tr>
      <w:tr w:rsidR="006A1798" w:rsidRPr="002F04F5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 «Интернет» (при 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EB143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hAnsi="Times New Roman" w:cs="Times New Roman"/>
                <w:sz w:val="22"/>
              </w:rPr>
              <w:t>https://www.lebedev.ru/ru/main.html</w:t>
            </w:r>
          </w:p>
        </w:tc>
      </w:tr>
    </w:tbl>
    <w:p w:rsidR="00BE3367" w:rsidRPr="002F04F5" w:rsidRDefault="00BE3367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BE3367" w:rsidRPr="002F04F5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A8F2BDF"/>
    <w:multiLevelType w:val="hybridMultilevel"/>
    <w:tmpl w:val="4AF4DD96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C4757"/>
    <w:rsid w:val="00097B3E"/>
    <w:rsid w:val="000A6429"/>
    <w:rsid w:val="001A322C"/>
    <w:rsid w:val="002346A2"/>
    <w:rsid w:val="002617FE"/>
    <w:rsid w:val="002F04F5"/>
    <w:rsid w:val="003033E5"/>
    <w:rsid w:val="00305AEB"/>
    <w:rsid w:val="00326B75"/>
    <w:rsid w:val="00407E8E"/>
    <w:rsid w:val="00412CD4"/>
    <w:rsid w:val="00452C40"/>
    <w:rsid w:val="004637DD"/>
    <w:rsid w:val="004A76DF"/>
    <w:rsid w:val="005B6980"/>
    <w:rsid w:val="00665687"/>
    <w:rsid w:val="00674BCB"/>
    <w:rsid w:val="006A1798"/>
    <w:rsid w:val="006E055D"/>
    <w:rsid w:val="007514C7"/>
    <w:rsid w:val="007608D8"/>
    <w:rsid w:val="007D191C"/>
    <w:rsid w:val="007E0A79"/>
    <w:rsid w:val="007E1232"/>
    <w:rsid w:val="007F44A8"/>
    <w:rsid w:val="008817B3"/>
    <w:rsid w:val="008C6295"/>
    <w:rsid w:val="008D1167"/>
    <w:rsid w:val="008E5378"/>
    <w:rsid w:val="009030B4"/>
    <w:rsid w:val="009C677E"/>
    <w:rsid w:val="00A31194"/>
    <w:rsid w:val="00A45E4A"/>
    <w:rsid w:val="00A644CE"/>
    <w:rsid w:val="00A81A42"/>
    <w:rsid w:val="00A84556"/>
    <w:rsid w:val="00AD28AD"/>
    <w:rsid w:val="00B03304"/>
    <w:rsid w:val="00B046FA"/>
    <w:rsid w:val="00BC799F"/>
    <w:rsid w:val="00BE3367"/>
    <w:rsid w:val="00C04A30"/>
    <w:rsid w:val="00C04BFE"/>
    <w:rsid w:val="00C16B4A"/>
    <w:rsid w:val="00C5095E"/>
    <w:rsid w:val="00C6224C"/>
    <w:rsid w:val="00C95C67"/>
    <w:rsid w:val="00C97DDF"/>
    <w:rsid w:val="00D92021"/>
    <w:rsid w:val="00DC4757"/>
    <w:rsid w:val="00E85952"/>
    <w:rsid w:val="00E87598"/>
    <w:rsid w:val="00F45896"/>
    <w:rsid w:val="00F51851"/>
    <w:rsid w:val="00F71AFA"/>
    <w:rsid w:val="00F7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lebed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.uran.ru/?q=ru/about_laboratory&amp;lab=30" TargetMode="External"/><Relationship Id="rId5" Type="http://schemas.openxmlformats.org/officeDocument/2006/relationships/hyperlink" Target="mailto:office@lebede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2021-09-01T11:03:00Z</dcterms:created>
  <dcterms:modified xsi:type="dcterms:W3CDTF">2021-09-01T11:03:00Z</dcterms:modified>
</cp:coreProperties>
</file>